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D729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41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10BE47" wp14:editId="32B4E1C8">
            <wp:simplePos x="0" y="0"/>
            <wp:positionH relativeFrom="column">
              <wp:posOffset>574675</wp:posOffset>
            </wp:positionH>
            <wp:positionV relativeFrom="paragraph">
              <wp:posOffset>191135</wp:posOffset>
            </wp:positionV>
            <wp:extent cx="1409700" cy="1409700"/>
            <wp:effectExtent l="0" t="0" r="0" b="0"/>
            <wp:wrapNone/>
            <wp:docPr id="8" name="image1.gif" descr="http://qrcoder.ru/code/?https%3A%2F%2Fwww.mfovzaimno.ru%2Fqr%2F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qrcoder.ru/code/?https%3A%2F%2Fwww.mfovzaimno.ru%2Fqr%2F&amp;4&amp;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6"/>
        <w:tblW w:w="6805" w:type="dxa"/>
        <w:tblInd w:w="3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2"/>
      </w:tblGrid>
      <w:tr w:rsidR="000F191A" w14:paraId="1CB80EE3" w14:textId="77777777">
        <w:trPr>
          <w:trHeight w:val="3160"/>
        </w:trPr>
        <w:tc>
          <w:tcPr>
            <w:tcW w:w="3403" w:type="dxa"/>
          </w:tcPr>
          <w:p w14:paraId="3970E54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41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Полная стоимость займа:</w:t>
            </w:r>
          </w:p>
          <w:p w14:paraId="3B18ED7F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41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[ПСК Прописью] проценты</w:t>
            </w:r>
          </w:p>
        </w:tc>
        <w:tc>
          <w:tcPr>
            <w:tcW w:w="3402" w:type="dxa"/>
          </w:tcPr>
          <w:p w14:paraId="465C0205" w14:textId="4B83B7F4" w:rsidR="000F191A" w:rsidRDefault="00872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41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sdt>
              <w:sdtPr>
                <w:tag w:val="goog_rdk_0"/>
                <w:id w:val="-1030955315"/>
              </w:sdtPr>
              <w:sdtEndPr/>
              <w:sdtContent/>
            </w:sdt>
            <w:r w:rsidR="00BF14CD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Полная стоимость займа: </w:t>
            </w:r>
          </w:p>
          <w:p w14:paraId="52C64E5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41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[ПСК Прописью] рубли</w:t>
            </w:r>
          </w:p>
        </w:tc>
      </w:tr>
    </w:tbl>
    <w:p w14:paraId="5C1FE58B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ind w:left="142"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F9391B7" w14:textId="1734F524" w:rsidR="00AB528B" w:rsidRDefault="00BF1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Индивидуальные условия договора микрозайма, </w:t>
      </w:r>
    </w:p>
    <w:p w14:paraId="42E983B1" w14:textId="77777777" w:rsidR="00EA3F03" w:rsidRDefault="00BF1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обеспеченного залогом транспортного средства</w:t>
      </w:r>
      <w:r w:rsidR="00EA3F03">
        <w:rPr>
          <w:rFonts w:ascii="Calibri" w:eastAsia="Calibri" w:hAnsi="Calibri" w:cs="Calibri"/>
          <w:color w:val="000000"/>
          <w:sz w:val="20"/>
          <w:szCs w:val="20"/>
        </w:rPr>
        <w:t>,</w:t>
      </w:r>
    </w:p>
    <w:p w14:paraId="4EB5DF7C" w14:textId="2C39DD3F" w:rsidR="000F191A" w:rsidRDefault="00BF1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№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НомерДоговора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 от [Дата]</w:t>
      </w:r>
    </w:p>
    <w:p w14:paraId="6E6D2971" w14:textId="77777777" w:rsidR="00AB528B" w:rsidRDefault="00AB52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324B77A8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142" w:right="441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г. [город заключения]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ДатаДоговора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 г.</w:t>
      </w:r>
    </w:p>
    <w:p w14:paraId="143A392E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ind w:left="142"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8B068B0" w14:textId="65AD3653" w:rsidR="000F191A" w:rsidRDefault="00BF14CD" w:rsidP="00EC2D50">
      <w:pPr>
        <w:pBdr>
          <w:top w:val="nil"/>
          <w:left w:val="nil"/>
          <w:bottom w:val="nil"/>
          <w:right w:val="nil"/>
          <w:between w:val="nil"/>
        </w:pBdr>
        <w:ind w:left="142" w:right="441" w:firstLine="57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Общество с ограниченной ответственностью «Микрофинансовая компания «ВЗАИМНО», именуемое в дальнейшем «Кредитор», в лице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УполномоченноеЛицо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], действующего на основании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ДокументОснование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], с одной стороны</w:t>
      </w:r>
      <w:r w:rsidR="00AB528B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и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ПолеФИО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 (дата рождения[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Датарождения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], паспорт гражданина РФ серия</w:t>
      </w:r>
      <w:r w:rsidR="00AB528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ПаспСерия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 №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ПаспНомер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], код подразделения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ПаспПодразделение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], выдан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ПаспВыдан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], дата выдачи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ПаспДатаВыдачи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] г.), именуемый в дальнейшем «Заемщик», с другой стороны, заключили настоящий договор займа на нижеследующих условиях</w:t>
      </w:r>
      <w:r w:rsidR="00AB528B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42ACECA6" w14:textId="4109FC99" w:rsidR="000F191A" w:rsidRDefault="00BF14CD" w:rsidP="00EC2D50">
      <w:pPr>
        <w:pBdr>
          <w:top w:val="nil"/>
          <w:left w:val="nil"/>
          <w:bottom w:val="nil"/>
          <w:right w:val="nil"/>
          <w:between w:val="nil"/>
        </w:pBdr>
        <w:ind w:left="142" w:right="441" w:firstLine="57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По Договору займа, по которому на момент его заключения срок возврата Основного долга не превышает одного года, не допускается начисление процентов, неустойки (штрафа, пени), иных мер ответственности по Договору займа, а также платежей за услуги, оказываемые Кредитором Заемщику за отдельную плату по Договору займа, после того как сумма начисленных процентов, неустойки (штрафа, пени), иных мер ответственности по Договору займа, а также платежей за услуги, оказываемые Кредитором Заемщику за отдельную плату по Договору займа, достигнет полуторакратного размера суммы </w:t>
      </w:r>
      <w:r w:rsidR="00AB528B">
        <w:rPr>
          <w:rFonts w:ascii="Calibri" w:eastAsia="Calibri" w:hAnsi="Calibri" w:cs="Calibri"/>
          <w:color w:val="000000"/>
          <w:sz w:val="20"/>
          <w:szCs w:val="20"/>
        </w:rPr>
        <w:t>Займа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7EFF656E" w14:textId="5061F8A7" w:rsidR="000F191A" w:rsidRDefault="00BF14CD" w:rsidP="00EC2D50">
      <w:pPr>
        <w:pBdr>
          <w:top w:val="nil"/>
          <w:left w:val="nil"/>
          <w:bottom w:val="nil"/>
          <w:right w:val="nil"/>
          <w:between w:val="nil"/>
        </w:pBdr>
        <w:ind w:left="142" w:right="441" w:firstLine="57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После возникновения просрочки исполнения обязательства Заемщика по возврату Займа и (или) уплате причитающихся процентов </w:t>
      </w:r>
      <w:r>
        <w:rPr>
          <w:rFonts w:ascii="Calibri" w:eastAsia="Calibri" w:hAnsi="Calibri" w:cs="Calibri"/>
          <w:sz w:val="20"/>
          <w:szCs w:val="20"/>
        </w:rPr>
        <w:t>Кредитор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по Договору займа</w:t>
      </w:r>
      <w:r w:rsidR="00AB528B" w:rsidRPr="00AB528B">
        <w:rPr>
          <w:rFonts w:ascii="Calibri" w:eastAsia="Calibri" w:hAnsi="Calibri" w:cs="Calibri"/>
          <w:color w:val="000000"/>
          <w:sz w:val="20"/>
          <w:szCs w:val="20"/>
        </w:rPr>
        <w:t>, срок возврата потребительского займа по которому не превышает один год,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вправе начислять Заемщику неустойку (штрафы, пени) и иные меры ответственности только на не погашенную Заемщиком часть суммы Основного долга.</w:t>
      </w:r>
    </w:p>
    <w:p w14:paraId="26E337F4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ind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7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2835"/>
        <w:gridCol w:w="7088"/>
      </w:tblGrid>
      <w:tr w:rsidR="000F191A" w14:paraId="227F74FB" w14:textId="77777777" w:rsidTr="00EC2D50">
        <w:trPr>
          <w:trHeight w:val="580"/>
          <w:tblHeader/>
        </w:trPr>
        <w:tc>
          <w:tcPr>
            <w:tcW w:w="10627" w:type="dxa"/>
            <w:gridSpan w:val="3"/>
          </w:tcPr>
          <w:p w14:paraId="75E66361" w14:textId="372C4962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 w:right="138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ИНДИВИДУАЛЬНЫЕ УСЛОВИЯ ДОГОВОРА МИКРОЗАЙМА, ОБЕСПЕЧЕННОГО ЗАЛОГОМ ТРАНСПОРТНОГО СРЕДСТВА</w:t>
            </w:r>
          </w:p>
        </w:tc>
      </w:tr>
      <w:tr w:rsidR="000F191A" w14:paraId="35AA8BAC" w14:textId="77777777" w:rsidTr="00EC2D50">
        <w:trPr>
          <w:trHeight w:val="480"/>
          <w:tblHeader/>
        </w:trPr>
        <w:tc>
          <w:tcPr>
            <w:tcW w:w="704" w:type="dxa"/>
          </w:tcPr>
          <w:p w14:paraId="0EB774AA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№</w:t>
            </w:r>
          </w:p>
          <w:p w14:paraId="2F03491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14:paraId="2C16EA9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Условие</w:t>
            </w:r>
          </w:p>
        </w:tc>
        <w:tc>
          <w:tcPr>
            <w:tcW w:w="7088" w:type="dxa"/>
          </w:tcPr>
          <w:p w14:paraId="06318AE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Содержание условия</w:t>
            </w:r>
          </w:p>
        </w:tc>
      </w:tr>
      <w:tr w:rsidR="000F191A" w14:paraId="0F982332" w14:textId="77777777" w:rsidTr="00951070">
        <w:trPr>
          <w:trHeight w:val="380"/>
        </w:trPr>
        <w:tc>
          <w:tcPr>
            <w:tcW w:w="704" w:type="dxa"/>
          </w:tcPr>
          <w:p w14:paraId="6ABD117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7253BCBF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Сумма займа или лимит кредитования и порядок его изменения</w:t>
            </w:r>
          </w:p>
        </w:tc>
        <w:tc>
          <w:tcPr>
            <w:tcW w:w="7088" w:type="dxa"/>
          </w:tcPr>
          <w:p w14:paraId="6C017952" w14:textId="3B4BDF90" w:rsidR="000F191A" w:rsidRPr="00F65648" w:rsidRDefault="00F6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0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Сумма </w:t>
            </w:r>
            <w:r w:rsidR="003E7C9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айма составляет </w:t>
            </w:r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ПолеСуммаЗайма</w:t>
            </w:r>
            <w:proofErr w:type="spellEnd"/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 ([</w:t>
            </w:r>
            <w:proofErr w:type="spellStart"/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ПолеСуммаЗаймаПрописью</w:t>
            </w:r>
            <w:proofErr w:type="spellEnd"/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])</w:t>
            </w:r>
          </w:p>
        </w:tc>
      </w:tr>
      <w:tr w:rsidR="000F191A" w14:paraId="27C315C0" w14:textId="77777777" w:rsidTr="00951070">
        <w:trPr>
          <w:trHeight w:val="380"/>
        </w:trPr>
        <w:tc>
          <w:tcPr>
            <w:tcW w:w="704" w:type="dxa"/>
          </w:tcPr>
          <w:p w14:paraId="5A8AF7ED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205612DF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Срок действия договора, срок возврата займа</w:t>
            </w:r>
          </w:p>
        </w:tc>
        <w:tc>
          <w:tcPr>
            <w:tcW w:w="7088" w:type="dxa"/>
          </w:tcPr>
          <w:p w14:paraId="211EAB56" w14:textId="4C9996F3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Срок действия договора – до полного исполнения обязательств.</w:t>
            </w:r>
          </w:p>
          <w:p w14:paraId="3B40B6E1" w14:textId="59939574" w:rsidR="00F65648" w:rsidRDefault="00F65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Срок возврата </w:t>
            </w:r>
            <w:r w:rsidR="003E7C9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айма составляет </w:t>
            </w:r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ПолеСрокЗайма</w:t>
            </w:r>
            <w:proofErr w:type="spellEnd"/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F6564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ПолеСрокЗайма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Прописью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Pr="00B020B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месяцев</w:t>
            </w:r>
          </w:p>
          <w:p w14:paraId="7E01D7DC" w14:textId="2C48405C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191A" w14:paraId="75DEF522" w14:textId="77777777" w:rsidTr="00951070">
        <w:trPr>
          <w:trHeight w:val="380"/>
        </w:trPr>
        <w:tc>
          <w:tcPr>
            <w:tcW w:w="704" w:type="dxa"/>
          </w:tcPr>
          <w:p w14:paraId="02261FED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0BA36AE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Валюта, в которой предоставляется кредит (заём)</w:t>
            </w:r>
          </w:p>
        </w:tc>
        <w:tc>
          <w:tcPr>
            <w:tcW w:w="7088" w:type="dxa"/>
          </w:tcPr>
          <w:p w14:paraId="1749661C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Рубль Российской Федерации</w:t>
            </w:r>
          </w:p>
        </w:tc>
      </w:tr>
      <w:tr w:rsidR="000F191A" w14:paraId="1974D257" w14:textId="77777777" w:rsidTr="00951070">
        <w:trPr>
          <w:trHeight w:val="380"/>
        </w:trPr>
        <w:tc>
          <w:tcPr>
            <w:tcW w:w="704" w:type="dxa"/>
          </w:tcPr>
          <w:p w14:paraId="056F1A6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12553CE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Процентная ставка (процентные ставки) в процентах годовых, а при применении переменной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процентной ставки – порядок ее определения, соответствующий требованиям Федерального закона от 21 декабря 2013 года № 353-ФЗ «О потребительском кредите (займе)», ее значение на дату предоставления Заемщику индивидуальных условий</w:t>
            </w:r>
          </w:p>
        </w:tc>
        <w:tc>
          <w:tcPr>
            <w:tcW w:w="7088" w:type="dxa"/>
          </w:tcPr>
          <w:p w14:paraId="70F015BC" w14:textId="3F1F8298" w:rsidR="003405AF" w:rsidRPr="00EC2D50" w:rsidRDefault="003405AF" w:rsidP="00E15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[При получении страховки]</w:t>
            </w:r>
          </w:p>
          <w:p w14:paraId="330B09D1" w14:textId="3F697191" w:rsidR="000F191A" w:rsidRPr="00EC2D50" w:rsidRDefault="00F65648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</w:t>
            </w:r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предоставляется по процентной ставке [</w:t>
            </w:r>
            <w:proofErr w:type="spellStart"/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ПроцентнаяСтавка</w:t>
            </w:r>
            <w:r w:rsidR="003405AF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СоСтраховкой</w:t>
            </w:r>
            <w:proofErr w:type="spellEnd"/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 % годовых</w:t>
            </w:r>
            <w:r w:rsidR="00E15BA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при условии </w:t>
            </w:r>
            <w:bookmarkStart w:id="2" w:name="_heading=h.1fob9te" w:colFirst="0" w:colLast="0"/>
            <w:bookmarkEnd w:id="2"/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заключ</w:t>
            </w:r>
            <w:r w:rsidR="00C26C1E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</w:t>
            </w:r>
            <w:r w:rsidR="00E15BA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ния Заемщиком </w:t>
            </w:r>
            <w:r w:rsidR="00C26C1E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</w:t>
            </w:r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оговор</w:t>
            </w:r>
            <w:r w:rsidR="00E15BA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</w:t>
            </w:r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добровольного страхования жизни и здоровья </w:t>
            </w:r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Заемщика от несчастного случая с одобренным страховщиком (далее – Договор добровольного страхования</w:t>
            </w:r>
            <w:r w:rsidR="00E15BA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A910F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на срок не менее 12 месяцев</w:t>
            </w:r>
            <w:r w:rsidR="00E15BA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7CA0291E" w14:textId="49A6B204" w:rsidR="000F191A" w:rsidRPr="00EC2D50" w:rsidRDefault="00A91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sz w:val="20"/>
                <w:szCs w:val="20"/>
              </w:rPr>
              <w:t>В случае отказа Заемщика от заключения Договора добровольного страхования или досрочного расторжения указанного договора по инициативе Заемщика</w:t>
            </w:r>
            <w:r w:rsidRPr="00EC2D50" w:rsidDel="00E15BA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процентн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ая</w:t>
            </w:r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ставк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</w:t>
            </w:r>
            <w:r w:rsidR="00BF14CD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по </w:t>
            </w:r>
            <w:r w:rsidR="00B548A8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Займу 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устанавливается в размере </w:t>
            </w:r>
            <w:r w:rsidR="00E15BA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 w:rsidR="00E15BA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ПроцентнаяСтавка</w:t>
            </w:r>
            <w:r w:rsidR="00FC5739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БезСтраховки</w:t>
            </w:r>
            <w:proofErr w:type="spellEnd"/>
            <w:r w:rsidR="00E15BA0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 % годовых</w:t>
            </w:r>
            <w:r w:rsidR="008A041B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со дня, следующего за днем отказа от заключения (досрочного расторжения) Договора добровольного страхования.</w:t>
            </w:r>
          </w:p>
          <w:p w14:paraId="6CCDE54C" w14:textId="77777777" w:rsidR="00FC5739" w:rsidRPr="00EC2D50" w:rsidRDefault="00FC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F0B54C3" w14:textId="26E9A78F" w:rsidR="00FC5739" w:rsidRPr="00EC2D50" w:rsidRDefault="00FC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[Без страховки]</w:t>
            </w:r>
          </w:p>
          <w:p w14:paraId="76C90940" w14:textId="0A51F86F" w:rsidR="00FC5739" w:rsidRPr="00FC5739" w:rsidRDefault="00FC5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 предоставляется по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процентной ставке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ПроцентнаяСтавкаБезСтраховки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 % годовых</w:t>
            </w:r>
          </w:p>
        </w:tc>
      </w:tr>
      <w:tr w:rsidR="000F191A" w14:paraId="171D6297" w14:textId="77777777" w:rsidTr="00951070">
        <w:trPr>
          <w:trHeight w:val="380"/>
        </w:trPr>
        <w:tc>
          <w:tcPr>
            <w:tcW w:w="704" w:type="dxa"/>
          </w:tcPr>
          <w:p w14:paraId="31B6114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</w:tcPr>
          <w:p w14:paraId="30C170B7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7088" w:type="dxa"/>
          </w:tcPr>
          <w:p w14:paraId="080DDE7F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 применимо</w:t>
            </w:r>
          </w:p>
        </w:tc>
      </w:tr>
      <w:tr w:rsidR="000F191A" w14:paraId="61E21AAB" w14:textId="77777777" w:rsidTr="00951070">
        <w:trPr>
          <w:trHeight w:val="380"/>
        </w:trPr>
        <w:tc>
          <w:tcPr>
            <w:tcW w:w="704" w:type="dxa"/>
          </w:tcPr>
          <w:p w14:paraId="5D5BF40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835" w:type="dxa"/>
          </w:tcPr>
          <w:p w14:paraId="2BAD7AB9" w14:textId="3B782B7E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Указание на изменение суммы расходов Заемщика </w:t>
            </w:r>
            <w:r w:rsidR="001C291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при увеличении,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используемой в договоре потребительского кредита (займа)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7088" w:type="dxa"/>
          </w:tcPr>
          <w:p w14:paraId="3949DE4E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 применимо</w:t>
            </w:r>
          </w:p>
        </w:tc>
      </w:tr>
      <w:tr w:rsidR="000F191A" w14:paraId="56D77D5A" w14:textId="77777777" w:rsidTr="00951070">
        <w:trPr>
          <w:trHeight w:val="380"/>
        </w:trPr>
        <w:tc>
          <w:tcPr>
            <w:tcW w:w="704" w:type="dxa"/>
          </w:tcPr>
          <w:p w14:paraId="3A26052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F9FE295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7088" w:type="dxa"/>
          </w:tcPr>
          <w:p w14:paraId="13C46A4A" w14:textId="68FD2C04" w:rsidR="000F191A" w:rsidRDefault="00BF14CD" w:rsidP="002C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Платежи по уплате основного долга и процентов уплачиваются Заемщиком ежемесячно в соответствии с Графиком платежей, который является неотъемлемой частью Индивидуальных условий Договора займа.</w:t>
            </w:r>
          </w:p>
          <w:p w14:paraId="712E4B88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Суммы платежей рассчитываются в следующем порядке:</w:t>
            </w:r>
          </w:p>
          <w:p w14:paraId="18149885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Если Графиком платежей не предусмотрен льготный период (период платежей, когда Заемщик уплачивает только проценты), размер периодического платежа рассчитывается по следующей формуле:</w:t>
            </w:r>
          </w:p>
          <w:p w14:paraId="692BE062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E083F5" wp14:editId="45332659">
                  <wp:extent cx="1257300" cy="571500"/>
                  <wp:effectExtent l="0" t="0" r="0" b="0"/>
                  <wp:docPr id="10" name="image3.png" descr="https://lh4.googleusercontent.com/F91jLMVAXcx9lOYx63I5BXBBzDrmSYtpHjPa9NFTW_TudaALnCJdEvCxGXjqTM7XDkJpL9JQqXJBXJ6gBY5RfEeO1IjXkWZuNQ8Dgq4lFXe5AzVzvlc0ksgYQwglJw0bjjLuvFMBfpg7Q0-_c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4.googleusercontent.com/F91jLMVAXcx9lOYx63I5BXBBzDrmSYtpHjPa9NFTW_TudaALnCJdEvCxGXjqTM7XDkJpL9JQqXJBXJ6gBY5RfEeO1IjXkWZuNQ8Dgq4lFXe5AzVzvlc0ksgYQwglJw0bjjLuvFMBfpg7Q0-_cw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4C070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 – размер периодического платежа (руб.), </w:t>
            </w:r>
          </w:p>
          <w:p w14:paraId="26B6D2A4" w14:textId="538E7429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СЗ – сумма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(руб.), </w:t>
            </w:r>
          </w:p>
          <w:p w14:paraId="4EBBA66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ПС – процентная ставка в процентах годовых (%), </w:t>
            </w:r>
          </w:p>
          <w:p w14:paraId="0FEBD2E7" w14:textId="1B0B3984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М – срок возврата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(мес.). </w:t>
            </w:r>
          </w:p>
          <w:p w14:paraId="6506A9B4" w14:textId="77777777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BA94AA9" w14:textId="77777777" w:rsidR="000F191A" w:rsidRDefault="00BF14CD" w:rsidP="002C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 случае если График платежей предусматривает льготный период пользования займом (уплата только процентов), то периодические платежи в течение льготного периода рассчитываются по формуле: </w:t>
            </w:r>
          </w:p>
          <w:p w14:paraId="38A2214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5652F4BB" wp14:editId="47837FF3">
                  <wp:extent cx="1457325" cy="438150"/>
                  <wp:effectExtent l="0" t="0" r="0" b="0"/>
                  <wp:docPr id="9" name="image5.png" descr="https://lh3.googleusercontent.com/305zZo2vyh2lpW7Clvy4U38OE5c4cfJBiYzTN_4gwGqOvcxyYxbQDbK04OgghUJP5FZp-RJ5VuTcsstt18C8y7vEi7UMTYxQe4WS25N8yRPA3Ft4PjlYYR-Qi9U1YFem2qWhAVsgfknnjnEF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s://lh3.googleusercontent.com/305zZo2vyh2lpW7Clvy4U38OE5c4cfJBiYzTN_4gwGqOvcxyYxbQDbK04OgghUJP5FZp-RJ5VuTcsstt18C8y7vEi7UMTYxQe4WS25N8yRPA3Ft4PjlYYR-Qi9U1YFem2qWhAVsgfknnjnEF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E4034D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ЛП – льготный платеж (руб.), </w:t>
            </w:r>
          </w:p>
          <w:p w14:paraId="4C5F7EA2" w14:textId="18AA30A8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СЗ – сумма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(руб.),</w:t>
            </w:r>
          </w:p>
          <w:p w14:paraId="0689E8A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ПС – процентная ставка в процентах годовых (%),</w:t>
            </w:r>
          </w:p>
          <w:p w14:paraId="73AEA29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Д – количество дней с момента предыдущего платежа (если платеж первый – с момента выдачи займа). </w:t>
            </w:r>
          </w:p>
          <w:p w14:paraId="0DA11C02" w14:textId="77777777" w:rsidR="000F191A" w:rsidRDefault="00BF14CD" w:rsidP="002C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После льготного периода периодические платежи рассчитываются по формуле: </w:t>
            </w:r>
          </w:p>
          <w:p w14:paraId="78BC2A67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D07B33" wp14:editId="4B1318E9">
                  <wp:extent cx="1247775" cy="476250"/>
                  <wp:effectExtent l="0" t="0" r="0" b="0"/>
                  <wp:docPr id="12" name="image6.png" descr="https://lh3.googleusercontent.com/GEQ_TxBCIjXzZBu1Vk6EQK_iYhGrhfASuEAZ6jpAcR6iTsbBjBVqytg0dlkw8pc0kO9kkvShGbKlIOQ8NN_1eaxJeiiJ5fjPEbrYHzu5UsWaL-Ye5l5YijQ5_ATa84Jnat2CC_olw5POj_5pz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lh3.googleusercontent.com/GEQ_TxBCIjXzZBu1Vk6EQK_iYhGrhfASuEAZ6jpAcR6iTsbBjBVqytg0dlkw8pc0kO9kkvShGbKlIOQ8NN_1eaxJeiiJ5fjPEbrYHzu5UsWaL-Ye5l5YijQ5_ATa84Jnat2CC_olw5POj_5pzA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B39BAA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Л – срок льготного периода (мес.),</w:t>
            </w:r>
          </w:p>
          <w:p w14:paraId="3667B87A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 – размер периодического платежа (руб.),</w:t>
            </w:r>
          </w:p>
          <w:p w14:paraId="441CF37E" w14:textId="54195D3E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СЗ – сумма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(руб.),</w:t>
            </w:r>
          </w:p>
          <w:p w14:paraId="25B5F41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ПС – процентная ставка в процентах годовых (%),</w:t>
            </w:r>
          </w:p>
          <w:p w14:paraId="50616BCC" w14:textId="63E50E5B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М – срок возврата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(мес.). </w:t>
            </w:r>
          </w:p>
          <w:p w14:paraId="4471445B" w14:textId="77777777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8582954" w14:textId="6564A0AF" w:rsidR="000F191A" w:rsidRDefault="00BF14CD" w:rsidP="002C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Периодический платеж состоит из оплаты основного долга и процентов, начисленных на сумму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Займа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79366649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Суммы погашения основного долга и процентов рассчитываются в следующем порядке: </w:t>
            </w:r>
          </w:p>
          <w:p w14:paraId="36FEF881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Сумма процентов, подлежащих оплате в дату платежа, рассчитывается по формуле: </w:t>
            </w:r>
          </w:p>
          <w:p w14:paraId="6E903B9C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AF8421" wp14:editId="066CA588">
                  <wp:extent cx="1657350" cy="447675"/>
                  <wp:effectExtent l="0" t="0" r="0" b="0"/>
                  <wp:docPr id="11" name="image2.png" descr="https://lh4.googleusercontent.com/umjMn9rSXGEulgwS7UCb-_FPj_V_uN7dFqSKMuuYWdpPC4m5vEzq4okCG2LQpetlcJPPuroK3C7bW5Xyx3UHlnEYV1WCDYQ8oSkIr-SfY5x-tMH07jmRz556VvzCZvx6FbMiDqM7OXZSYxP0u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umjMn9rSXGEulgwS7UCb-_FPj_V_uN7dFqSKMuuYWdpPC4m5vEzq4okCG2LQpetlcJPPuroK3C7bW5Xyx3UHlnEYV1WCDYQ8oSkIr-SfY5x-tMH07jmRz556VvzCZvx6FbMiDqM7OXZSYxP0uQ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4BCC3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ПРОЦi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сумма процентов (руб.) в i-ом платеже, </w:t>
            </w:r>
          </w:p>
          <w:p w14:paraId="2CE5BC8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ОСТi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остаток по основному долгу (руб.) на момент 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платежа, </w:t>
            </w:r>
          </w:p>
          <w:p w14:paraId="047E9EDA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ПС – процентная ставка в процентах годовых (%),</w:t>
            </w:r>
          </w:p>
          <w:p w14:paraId="08A0C4D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Д – количество дней с момента предыдущего платежа (если платеж первый – с момента выдачи займа). </w:t>
            </w:r>
          </w:p>
          <w:p w14:paraId="1AAB8BE6" w14:textId="77777777" w:rsidR="000F191A" w:rsidRDefault="00BF14CD" w:rsidP="002C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Сумма основного долга, подлежащего оплате в дату платежа, рассчитывается по формуле: </w:t>
            </w:r>
          </w:p>
          <w:p w14:paraId="4222C7B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170716" wp14:editId="3B777EB4">
                  <wp:extent cx="1514475" cy="457200"/>
                  <wp:effectExtent l="0" t="0" r="0" b="0"/>
                  <wp:docPr id="13" name="image4.png" descr="https://lh4.googleusercontent.com/gbtPUkm2UG2mWaW2Tk0yHawign4sNSWKy4KnCcFHJIjErolOdOee6TUUqKYsTjW7YFsYTkLOM3byS_3YalZf2CuZZYWLuso8VuU7YU8o8IZbtmrW8kG2nIHcM5p4JPso22GJh0URMoFJRMIMx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lh4.googleusercontent.com/gbtPUkm2UG2mWaW2Tk0yHawign4sNSWKy4KnCcFHJIjErolOdOee6TUUqKYsTjW7YFsYTkLOM3byS_3YalZf2CuZZYWLuso8VuU7YU8o8IZbtmrW8kG2nIHcM5p4JPso22GJh0URMoFJRMIMxQ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54135D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ОСНi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сумма погашения основного долга в i-ом платеже (руб.), </w:t>
            </w:r>
          </w:p>
          <w:p w14:paraId="7377C1D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297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– сумма i-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го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платежа (руб.) </w:t>
            </w:r>
          </w:p>
          <w:p w14:paraId="5454DE0D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Последний платеж является корректирующим и может отличаться от остальных ежемесячных платежей.</w:t>
            </w:r>
          </w:p>
        </w:tc>
      </w:tr>
      <w:tr w:rsidR="000F191A" w14:paraId="4C8493E0" w14:textId="77777777" w:rsidTr="00951070">
        <w:trPr>
          <w:trHeight w:val="380"/>
        </w:trPr>
        <w:tc>
          <w:tcPr>
            <w:tcW w:w="704" w:type="dxa"/>
          </w:tcPr>
          <w:p w14:paraId="23F0BD5D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35" w:type="dxa"/>
          </w:tcPr>
          <w:p w14:paraId="659D603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7088" w:type="dxa"/>
          </w:tcPr>
          <w:p w14:paraId="6180159C" w14:textId="77777777" w:rsidR="000F191A" w:rsidRDefault="00BF14CD" w:rsidP="002C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Заемщик имеет право на частичное досрочное погашение части суммы Займа в порядке, указанном в Общих условиях. Кредитор учитывает денежные средства, направленные на частичное досрочное погашение Займа, при отсутствии Просроченной задолженности по истечении 10 (десяти) календарных дней с момента получения Кредитором Заявления на частичное досрочное погашение, если Дата планового платежа не наступит раньше (если Дата планового платежа наступает до истечения 10 (десяти) дневного срока, указанного в настоящем пункте, Кредитор засчитывает денежные средства, направленные на досрочное погашение Займа, в Дату планового платежа). </w:t>
            </w:r>
          </w:p>
          <w:p w14:paraId="09C9EB66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Заявление на частичное досрочное погашение может быть направлено Кредитору через Личный кабинет или путем его передачи Менеджеру. Если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Заявление на частичное досрочное погашение направляется через Личный кабинет, то Заемщик подписывает его с использованием аналога собственноручной подписи; если передается Менеджеру – подписывает собственноручно.</w:t>
            </w:r>
          </w:p>
          <w:p w14:paraId="225866D9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Кредитор уменьшает размер остатка Основного долга на основании Заявления на частичное досрочное погашение на сумму, указанную в Заявлении на частичное досрочное погашение и фактически переданную Кредитору одним из способов, предусмотренным Общими условиями. </w:t>
            </w:r>
          </w:p>
          <w:p w14:paraId="346E4E8D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Если Заемщик осуществляет платеж по Договору займа ранее Даты планового платежа или в Дату планового платежа в сумме, превышающей сумму очередного Ежемесячного платежа по Графику платежей, и при этом не направил Кредитору Заявление на частичное досрочное погашение в порядке, предусмотренном Общими условиями, то Кредитор засчитывает внесенные Заемщиком денежные средства в следующую Дату планового платежа согласно Графику платежей при отсутствии иных неисполненных обязательств Заемщика перед Кредитором.</w:t>
            </w:r>
          </w:p>
          <w:p w14:paraId="06C84826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 случае частичного досрочного погашения Займа График платежей подлежит изменению, в этом случае размер Ежемесячного платежа рассчитывается исходя из остатка Основного долга и оставшегося срока возврата Займа (Транша). Измененный График платежей направляется одним из способов, указанных в Общих условиях.</w:t>
            </w:r>
          </w:p>
        </w:tc>
      </w:tr>
      <w:tr w:rsidR="000F191A" w14:paraId="1A935CEB" w14:textId="77777777" w:rsidTr="00951070">
        <w:trPr>
          <w:trHeight w:val="380"/>
        </w:trPr>
        <w:tc>
          <w:tcPr>
            <w:tcW w:w="704" w:type="dxa"/>
          </w:tcPr>
          <w:p w14:paraId="1529C97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</w:tcPr>
          <w:p w14:paraId="7F2208C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7088" w:type="dxa"/>
          </w:tcPr>
          <w:p w14:paraId="57B7CFD9" w14:textId="77777777" w:rsidR="000F191A" w:rsidRDefault="00BF1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425" w:right="138" w:hanging="28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Внесение наличных в кассу Кредитора. Датой оплаты считается дата внесения денежных средств в кассу Кредитора.</w:t>
            </w:r>
          </w:p>
          <w:p w14:paraId="41ADA6F3" w14:textId="496CD80A" w:rsidR="000F191A" w:rsidRDefault="00BF1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425" w:right="138" w:hanging="28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Перевод безналичных денежных средств на расчетный счет Кредитора, указанный в Договоре займа и на официальном сайте Кредитора (</w:t>
            </w:r>
            <w:hyperlink r:id="rId15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www.mfovzaimno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.ru). Датой оплаты считается дата зачисления денежных средств на расчетный счет Кредитора. Расходы, связанные с перечислением денежных средств Кредитору (в том числе комиссии, взимаемые банк</w:t>
            </w:r>
            <w:r w:rsidR="00D223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ом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плательщика), несет </w:t>
            </w:r>
            <w:r w:rsidR="00D223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плательщик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3DEAA06E" w14:textId="77777777" w:rsidR="000F191A" w:rsidRDefault="00BF1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425" w:right="138" w:hanging="28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Перевод денежных средств Кредитору с использованием платежных карт посредством сервиса, представленного на официальном сайте Кредитора (</w:t>
            </w:r>
            <w:hyperlink r:id="rId16"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www.mfovzaimno.ru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 Датой оплаты считается дата подтверждения платежа банком-эмитентом платежной карты.</w:t>
            </w:r>
          </w:p>
          <w:p w14:paraId="6D1961DE" w14:textId="77777777" w:rsidR="000F191A" w:rsidRDefault="00BF1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425" w:right="138" w:hanging="28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Перевод денежных средств через платежную систему CONTACT (оператор – КИВИ Банк (АО)). Датой платежа считается дата отправки денежного перевода плательщиком. Комиссия за осуществление перевода в адрес Кредитора с плательщика не взимается.</w:t>
            </w:r>
          </w:p>
          <w:p w14:paraId="01CC6D8D" w14:textId="517512B4" w:rsidR="000F191A" w:rsidRDefault="00BF14CD" w:rsidP="002C4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Кредитором и оператором платежной системы могут быть установлены ограничения на проведение безналичных переводов денежных средств. В случае ограничений, установленных оператором платежной системы</w:t>
            </w:r>
            <w:r w:rsidR="00D2235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или других обстоятельств, возникших не по вине Кредитора, не позволяющих осуществить платеж данным способом (включая установление платы за перевод), Кредитор не несет ответственность за понесенные Заемщиком издержки и негативные для него последствия.</w:t>
            </w:r>
          </w:p>
        </w:tc>
      </w:tr>
      <w:tr w:rsidR="000F191A" w14:paraId="0CDD0B3F" w14:textId="77777777" w:rsidTr="00951070">
        <w:trPr>
          <w:trHeight w:val="380"/>
        </w:trPr>
        <w:tc>
          <w:tcPr>
            <w:tcW w:w="704" w:type="dxa"/>
          </w:tcPr>
          <w:p w14:paraId="22605AAC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835" w:type="dxa"/>
          </w:tcPr>
          <w:p w14:paraId="658344E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7088" w:type="dxa"/>
          </w:tcPr>
          <w:p w14:paraId="77F782F8" w14:textId="77777777" w:rsidR="000F191A" w:rsidRDefault="00BF14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0"/>
                <w:tab w:val="right" w:pos="6944"/>
              </w:tabs>
              <w:ind w:left="425" w:right="138" w:hanging="28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Оплата наличными в кассу Кредитора.</w:t>
            </w:r>
          </w:p>
          <w:p w14:paraId="6D686C9C" w14:textId="77777777" w:rsidR="000F191A" w:rsidRDefault="00BF14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0"/>
                <w:tab w:val="right" w:pos="6944"/>
              </w:tabs>
              <w:ind w:left="425" w:right="138" w:hanging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Осуществление перевода денежных средств Кредитору с использованием платежных карт посредством сервиса, представленного на официальном сайте Кредитора (</w:t>
            </w:r>
            <w:hyperlink r:id="rId17">
              <w:r>
                <w:rPr>
                  <w:rFonts w:ascii="Calibri" w:eastAsia="Calibri" w:hAnsi="Calibri" w:cs="Calibri"/>
                  <w:color w:val="000000"/>
                  <w:sz w:val="20"/>
                  <w:szCs w:val="20"/>
                </w:rPr>
                <w:t>www.mfovzaimno.ru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14:paraId="5A1B9B13" w14:textId="77777777" w:rsidR="000F191A" w:rsidRDefault="00BF14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633"/>
                <w:tab w:val="right" w:pos="6944"/>
              </w:tabs>
              <w:ind w:left="425" w:right="138" w:hanging="28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Оплата путем перевода денежных средств через платежную систему CONTACT (оператор – КИВИ Банк (АО).</w:t>
            </w:r>
          </w:p>
          <w:p w14:paraId="70191239" w14:textId="77777777" w:rsidR="000F191A" w:rsidRDefault="00BF14CD" w:rsidP="00EC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69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Полные условия осуществления платежей данными способами приведены в п. 8 Индивидуальных условий Договора займа.</w:t>
            </w:r>
          </w:p>
        </w:tc>
      </w:tr>
      <w:tr w:rsidR="000F191A" w14:paraId="127B6486" w14:textId="77777777" w:rsidTr="00951070">
        <w:trPr>
          <w:trHeight w:val="380"/>
        </w:trPr>
        <w:tc>
          <w:tcPr>
            <w:tcW w:w="704" w:type="dxa"/>
          </w:tcPr>
          <w:p w14:paraId="17053127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</w:tcPr>
          <w:p w14:paraId="3D3B60A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Обязанность Заемщика заключить иные договоры</w:t>
            </w:r>
          </w:p>
        </w:tc>
        <w:tc>
          <w:tcPr>
            <w:tcW w:w="7088" w:type="dxa"/>
          </w:tcPr>
          <w:p w14:paraId="29F815C7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 обязан обеспечить заключение не позднее {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ЗаймДата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} договора залога, в соответствии с которым Заемщик или иное лицо, действующее в интересах Заемщика, в качестве залогодателя устанавливает залог на транспортное средство, отвечающее требованиям, предъявляемым к Предмету залога, в пользу Кредитора, в качестве обеспечения исполнения обязательства Заемщика по Договору займа.</w:t>
            </w:r>
          </w:p>
          <w:p w14:paraId="2D6839BA" w14:textId="7AED3353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 случае использования Заемщиком Личного кабинета на Сайте или в Мобильном приложении, Заемщик обязан присоединиться к Лицензионному соглашению, условия которого доступны на Сайте </w:t>
            </w:r>
            <w:r w:rsidR="005A4845" w:rsidRPr="005A48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https://www.mfovzaimno.ru/license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F191A" w14:paraId="468D793F" w14:textId="77777777" w:rsidTr="00951070">
        <w:trPr>
          <w:trHeight w:val="380"/>
        </w:trPr>
        <w:tc>
          <w:tcPr>
            <w:tcW w:w="704" w:type="dxa"/>
          </w:tcPr>
          <w:p w14:paraId="22CC14E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0A4A28C0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7088" w:type="dxa"/>
          </w:tcPr>
          <w:p w14:paraId="5A0A10E2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 или иное лицо, действующее в его интересах (Залогодатель), обеспечивает исполнение обязательств Заемщика перед Кредитором по Договору займа посредством залога транспортного средства (ТС), Залогодержателем по которому будет выступать Кредитор. Транспортное средство, предоставленное в качестве предмета залога, должно соответствовать требованиям, предъявляемым Правилами к Предмету залога, в течение срока действия Договора займа.</w:t>
            </w:r>
          </w:p>
          <w:p w14:paraId="4F36A4B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 наравне с залогом обязан обеспечить надлежащее исполнение обязательств по Договору займа посредством поручительства третьего лица в следующих случаях:</w:t>
            </w:r>
          </w:p>
          <w:p w14:paraId="7E59C88F" w14:textId="77777777" w:rsidR="000F191A" w:rsidRDefault="00BF14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633"/>
              </w:tabs>
              <w:ind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если у Кредитора возникает обоснованное сомнение в платежеспособности Заявителя;</w:t>
            </w:r>
          </w:p>
          <w:p w14:paraId="55700C1C" w14:textId="77777777" w:rsidR="000F191A" w:rsidRDefault="00BF14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633"/>
              </w:tabs>
              <w:ind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если Заявитель не соответствует одному или нескольким требованиям, предъявляемым к Заявителю согласно п. 2.1. Правил.</w:t>
            </w:r>
          </w:p>
        </w:tc>
      </w:tr>
      <w:tr w:rsidR="000F191A" w14:paraId="5D00ED04" w14:textId="77777777" w:rsidTr="00951070">
        <w:trPr>
          <w:trHeight w:val="380"/>
        </w:trPr>
        <w:tc>
          <w:tcPr>
            <w:tcW w:w="704" w:type="dxa"/>
          </w:tcPr>
          <w:p w14:paraId="3C712F0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14:paraId="5D259115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Цели использования Заемщиком потребительского займа</w:t>
            </w:r>
          </w:p>
        </w:tc>
        <w:tc>
          <w:tcPr>
            <w:tcW w:w="7088" w:type="dxa"/>
          </w:tcPr>
          <w:p w14:paraId="11A98F2C" w14:textId="77777777" w:rsidR="000416F9" w:rsidRPr="00EC2D50" w:rsidRDefault="00041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БезРефинансирования</w:t>
            </w:r>
            <w:proofErr w:type="spellEnd"/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  <w:p w14:paraId="0EF3A424" w14:textId="77777777" w:rsidR="000416F9" w:rsidRPr="00EC2D50" w:rsidRDefault="00A5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 применимо</w:t>
            </w:r>
          </w:p>
          <w:p w14:paraId="1C05F9D8" w14:textId="77777777" w:rsidR="000416F9" w:rsidRPr="00EC2D50" w:rsidRDefault="00041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E3175DF" w14:textId="79E19B39" w:rsidR="000F191A" w:rsidRPr="00EC2D50" w:rsidRDefault="00041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ПриРефинансировании</w:t>
            </w:r>
            <w:proofErr w:type="spellEnd"/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  <w:p w14:paraId="2F26FC10" w14:textId="12ECB70D" w:rsidR="000416F9" w:rsidRPr="00EC2D50" w:rsidRDefault="000416F9" w:rsidP="00041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 является целевым и предоставляется на рефинансирование задолженности Заемщика по договор</w:t>
            </w:r>
            <w:r w:rsid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 (договорам)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14:paraId="05A0CFA0" w14:textId="5025F85A" w:rsidR="000416F9" w:rsidRDefault="000416F9" w:rsidP="00041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 w:rsid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Договор займа (кредитный </w:t>
            </w:r>
            <w:proofErr w:type="gramStart"/>
            <w:r w:rsid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договор)</w:t>
            </w:r>
            <w:r w:rsidR="00254759"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№</w:t>
            </w:r>
            <w:proofErr w:type="gramEnd"/>
            <w:r w:rsidR="00254759"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</w:t>
            </w:r>
            <w:r w:rsidR="00254759"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от </w:t>
            </w:r>
            <w:r w:rsid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ДД.ММ.ГГГГ</w:t>
            </w:r>
            <w:r w:rsidR="00254759"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г., заключен между </w:t>
            </w:r>
            <w:r w:rsidR="00254759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 w:rsid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КредиторНаименование</w:t>
            </w:r>
            <w:proofErr w:type="spellEnd"/>
            <w:r w:rsidR="00254759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  <w:r w:rsidR="00254759"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и </w:t>
            </w:r>
            <w:r w:rsidR="00254759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 w:rsidR="00254759"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ЗаемщикФио</w:t>
            </w:r>
            <w:proofErr w:type="spellEnd"/>
            <w:r w:rsidR="00254759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  <w:r w:rsidR="00254759"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сумма задолженности - </w:t>
            </w:r>
            <w:r w:rsidR="00254759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</w:t>
            </w:r>
            <w:r w:rsidR="00254759"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руб.";</w:t>
            </w:r>
          </w:p>
          <w:p w14:paraId="1E161D27" w14:textId="77777777" w:rsidR="00254759" w:rsidRDefault="00254759" w:rsidP="00254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34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•</w:t>
            </w:r>
            <w:r w:rsidRPr="00334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Договор займа (кредитный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договор)</w:t>
            </w:r>
            <w:r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№</w:t>
            </w:r>
            <w:proofErr w:type="gramEnd"/>
            <w:r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</w:t>
            </w:r>
            <w:r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ДД.ММ.ГГГГ</w:t>
            </w:r>
            <w:r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г., заключен между </w:t>
            </w:r>
            <w:r w:rsidRPr="00334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КредиторНаименование</w:t>
            </w:r>
            <w:proofErr w:type="spellEnd"/>
            <w:r w:rsidRPr="00334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  <w:r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и </w:t>
            </w:r>
            <w:r w:rsidRPr="00334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ЗаемщикФио</w:t>
            </w:r>
            <w:proofErr w:type="spellEnd"/>
            <w:r w:rsidRPr="00334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  <w:r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сумма задолженности - </w:t>
            </w:r>
            <w:r w:rsidRPr="0033486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</w:t>
            </w:r>
            <w:r w:rsidRP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руб.";</w:t>
            </w:r>
          </w:p>
          <w:p w14:paraId="5BB579B3" w14:textId="77777777" w:rsidR="00254759" w:rsidRPr="00EC2D50" w:rsidRDefault="00254759" w:rsidP="00041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53BAA4D" w14:textId="72515392" w:rsidR="000416F9" w:rsidRPr="000416F9" w:rsidRDefault="000416F9" w:rsidP="00041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Документы, подтверждающие полную оплату задолженности и отсутствие иных обязательств по договор</w:t>
            </w:r>
            <w:r w:rsidR="00254759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e</w:t>
            </w:r>
            <w:r w:rsidR="00254759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r w:rsidR="0025475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договорам), указанным в настоящем пункте,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должны быть предоставлены Заемщиком Кредитору в течение 10 (десяти) дней с момента выдачи займа.</w:t>
            </w:r>
          </w:p>
        </w:tc>
      </w:tr>
      <w:tr w:rsidR="000F191A" w14:paraId="063D2BF7" w14:textId="77777777" w:rsidTr="00951070">
        <w:trPr>
          <w:trHeight w:val="380"/>
        </w:trPr>
        <w:tc>
          <w:tcPr>
            <w:tcW w:w="704" w:type="dxa"/>
          </w:tcPr>
          <w:p w14:paraId="0791904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76584410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7088" w:type="dxa"/>
          </w:tcPr>
          <w:p w14:paraId="0AE1E484" w14:textId="0C75CD58" w:rsidR="001C2915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 случае неисполнения или ненадлежащего исполнения Заемщиком своих обязательств по возврату денежных средств, полученных по Договору займа, и (или) уплаты процентов, Заемщик уплачивает Кредитору неустойку (пени) в</w:t>
            </w:r>
            <w:r w:rsidR="001C291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следующем </w:t>
            </w:r>
            <w:r w:rsidR="002C41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размере</w:t>
            </w:r>
            <w:r w:rsidR="001C291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14:paraId="383F3A9F" w14:textId="5F2CF2B8" w:rsidR="000F191A" w:rsidRPr="00EC2D50" w:rsidRDefault="00BF14CD" w:rsidP="00EC2D50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0,054% (ноль целых пять</w:t>
            </w:r>
            <w:r w:rsidR="002C41A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десят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четыре тысячных процента</w:t>
            </w:r>
            <w:r w:rsidRPr="00EC2D5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)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от невозвращенной суммы Основного долга за каждый календарный день просрочки, начиная с даты, следующей за датой первого просроченного платежа (в соответствии с Графиком платежей), до дня фактического исполнения просроченных обязательств</w:t>
            </w:r>
            <w:r w:rsidR="001C2915"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за период начисления процентов по условиям настоящего договора;</w:t>
            </w:r>
          </w:p>
          <w:p w14:paraId="3337FEF8" w14:textId="5A685D21" w:rsidR="001C2915" w:rsidRPr="00EC2D50" w:rsidRDefault="001C2915" w:rsidP="00EC2D50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0,1% (ноль целых одна десятая процента) от суммы просроченной </w:t>
            </w:r>
            <w:r w:rsidRPr="00EC2D5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задолженности за каждый день нарушения обязательств за период, когда проценты по настоящему договору не начисляются.</w:t>
            </w:r>
          </w:p>
        </w:tc>
      </w:tr>
      <w:tr w:rsidR="000F191A" w14:paraId="6454E195" w14:textId="77777777" w:rsidTr="00951070">
        <w:trPr>
          <w:trHeight w:val="380"/>
        </w:trPr>
        <w:tc>
          <w:tcPr>
            <w:tcW w:w="704" w:type="dxa"/>
          </w:tcPr>
          <w:p w14:paraId="73CC5B3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</w:tcPr>
          <w:p w14:paraId="01D4984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Условие об уступке Кредитором третьим лицам прав требования по договору</w:t>
            </w:r>
          </w:p>
        </w:tc>
        <w:tc>
          <w:tcPr>
            <w:tcW w:w="7088" w:type="dxa"/>
          </w:tcPr>
          <w:p w14:paraId="4E485BAE" w14:textId="0E657037" w:rsidR="00517465" w:rsidRPr="00517465" w:rsidRDefault="00BF14CD" w:rsidP="0051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Уступка Кредитором третьим лицам прав (требований) возможна в соответствии со ст. 12 </w:t>
            </w:r>
            <w:r w:rsidR="00517465" w:rsidRPr="0051746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Федерального закона от 21.12.2013 №353-ФЗ «О потребительском кредите займе)»:</w:t>
            </w:r>
          </w:p>
          <w:p w14:paraId="727543B9" w14:textId="2621E320" w:rsidR="00517465" w:rsidRDefault="00517465" w:rsidP="0051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F186129" w14:textId="386DB82B" w:rsidR="00517465" w:rsidRPr="00E42E45" w:rsidRDefault="00E42E45" w:rsidP="00E4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734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AA1EC05" wp14:editId="593AD9AC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662305</wp:posOffset>
                  </wp:positionV>
                  <wp:extent cx="255905" cy="222885"/>
                  <wp:effectExtent l="0" t="0" r="0" b="571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-03-17_17-30-52 (4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465" w:rsidRPr="00E42E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 выражает несогласие на уступку прав (требований) по настоящему Договору Кредитором лицам</w:t>
            </w:r>
            <w:r w:rsidR="0003699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="00517465" w:rsidRPr="00E42E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указанным в п.1 ст. 12 Федерального закона от 21.12.2013 №353-ФЗ «О потребительском кредите (займе)»;</w:t>
            </w:r>
          </w:p>
          <w:p w14:paraId="1ABB4D07" w14:textId="5F57C9C2" w:rsidR="00517465" w:rsidRDefault="00517465" w:rsidP="0051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767C480" w14:textId="70C99520" w:rsidR="00517465" w:rsidRDefault="00310FDA" w:rsidP="00E4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734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3DE6F4B0" wp14:editId="310B1728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1445895</wp:posOffset>
                  </wp:positionV>
                  <wp:extent cx="255905" cy="222885"/>
                  <wp:effectExtent l="0" t="0" r="0" b="571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-03-17_17-30-52 (4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465" w:rsidRPr="0051746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 выражает свое согласие на уступку прав (требований) по настоящему Договору Кредитором лицам</w:t>
            </w:r>
            <w:r w:rsidR="0003699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="00517465" w:rsidRPr="0051746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указанным в п.1 ст. 12 Федерального закона от 21.12.2013 №353-ФЗ «О потребительском кредите (займе)».</w:t>
            </w:r>
          </w:p>
          <w:p w14:paraId="232F3019" w14:textId="32EA1A06" w:rsidR="00517465" w:rsidRDefault="00517465" w:rsidP="0051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25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1746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Указанное в настоящем пункте несогласие/согласие не может быть изменено в одностороннем порядке стороной договора после его заключения.</w:t>
            </w:r>
          </w:p>
        </w:tc>
      </w:tr>
      <w:tr w:rsidR="000F191A" w14:paraId="63F61891" w14:textId="77777777" w:rsidTr="00951070">
        <w:trPr>
          <w:trHeight w:val="380"/>
        </w:trPr>
        <w:tc>
          <w:tcPr>
            <w:tcW w:w="704" w:type="dxa"/>
          </w:tcPr>
          <w:p w14:paraId="275EFB4E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01DBA19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Согласие Заемщика с общими условиями договора</w:t>
            </w:r>
          </w:p>
        </w:tc>
        <w:tc>
          <w:tcPr>
            <w:tcW w:w="7088" w:type="dxa"/>
          </w:tcPr>
          <w:p w14:paraId="61D24DC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Стороны подтверждают, что между ними достигнуто полное согласие по всем условиям Договора займа, в том числе по всем Индивидуальным и Общим условиям Договора займа.</w:t>
            </w:r>
          </w:p>
          <w:p w14:paraId="5BFDDEA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 ознакомлен с информацией об условиях предоставления, использования и возврата займа и с ними согласен.</w:t>
            </w:r>
          </w:p>
          <w:p w14:paraId="3553689D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Подписание Индивидуальных условий Договора займа осуществляется только после ознакомления с Общими условиями договора как собственноручно Заемщиком, так и с использованием аналога собственноручной подписи. </w:t>
            </w:r>
          </w:p>
          <w:p w14:paraId="5BE10E7F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Подписание Индивидуальных условий Договора займа дополнительно подтверждает ознакомление Заемщика с Общими условиями Договора займа.</w:t>
            </w:r>
          </w:p>
        </w:tc>
      </w:tr>
      <w:tr w:rsidR="000F191A" w14:paraId="62774D50" w14:textId="77777777" w:rsidTr="00951070">
        <w:trPr>
          <w:trHeight w:val="380"/>
        </w:trPr>
        <w:tc>
          <w:tcPr>
            <w:tcW w:w="704" w:type="dxa"/>
          </w:tcPr>
          <w:p w14:paraId="73196B3C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3133C09A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7088" w:type="dxa"/>
          </w:tcPr>
          <w:p w14:paraId="2970ABB0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</w:t>
            </w:r>
            <w:r w:rsidR="00A56D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применимо</w:t>
            </w:r>
          </w:p>
        </w:tc>
      </w:tr>
      <w:tr w:rsidR="000F191A" w14:paraId="2DF0E404" w14:textId="77777777" w:rsidTr="00951070">
        <w:trPr>
          <w:trHeight w:val="380"/>
        </w:trPr>
        <w:tc>
          <w:tcPr>
            <w:tcW w:w="704" w:type="dxa"/>
          </w:tcPr>
          <w:p w14:paraId="15DDCFC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7977E2D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Способ обмена информацией между Кредитором и Заемщиком</w:t>
            </w:r>
          </w:p>
        </w:tc>
        <w:tc>
          <w:tcPr>
            <w:tcW w:w="7088" w:type="dxa"/>
          </w:tcPr>
          <w:p w14:paraId="0746807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Обмен сообщениями по электронной почте осуществляется на 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-адреса, указанные в Договоре займа, в том числе с использованием Личного кабинета, размещенного на официальном Сайте Кредитора и в Мобильном приложении.</w:t>
            </w:r>
          </w:p>
          <w:p w14:paraId="36BB22C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Обмен почтовыми сообщениями осуществляется по реквизитам сторон, указанным в настоящем договоре.</w:t>
            </w:r>
          </w:p>
          <w:p w14:paraId="44322C6C" w14:textId="1E40930B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Стороны обмениваются сообщениями путем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передачи при личной встрече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Менеджера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 Заемщиком.</w:t>
            </w:r>
          </w:p>
          <w:p w14:paraId="53DEF5F0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Обмен сообщениями по телефону на телефонные номера (СМС-сообщения и звонки), указанные в настоящем договоре.</w:t>
            </w:r>
          </w:p>
          <w:p w14:paraId="2B8DD5B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 вправе направлять сообщения Кредитору с помощью формы обратной связи, расположенной на официальном сайте Кредитора.</w:t>
            </w:r>
          </w:p>
          <w:p w14:paraId="7B4C01E0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Иным способом, позволяющим установить и зафиксировать факт получения сообщения стороной. Способы, которые используют стороны для обмена сообщениями, информацией, определяются в соответствии с ограничениями, предусмотренными в Правилах.</w:t>
            </w:r>
          </w:p>
        </w:tc>
      </w:tr>
      <w:tr w:rsidR="000F191A" w14:paraId="01BBAEA1" w14:textId="77777777" w:rsidTr="00951070">
        <w:trPr>
          <w:trHeight w:val="380"/>
        </w:trPr>
        <w:tc>
          <w:tcPr>
            <w:tcW w:w="704" w:type="dxa"/>
          </w:tcPr>
          <w:p w14:paraId="0D6827D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</w:tcPr>
          <w:p w14:paraId="6FCC903B" w14:textId="2E55C44C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Порядок предоставления </w:t>
            </w:r>
            <w:r w:rsidR="003405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Займа</w:t>
            </w:r>
          </w:p>
        </w:tc>
        <w:tc>
          <w:tcPr>
            <w:tcW w:w="7088" w:type="dxa"/>
          </w:tcPr>
          <w:p w14:paraId="15C62BAF" w14:textId="535FFE85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Заемщик для получения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по Договору займа направляет Кредитору Заявление о </w:t>
            </w:r>
            <w:r w:rsidR="003405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выборе способа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предоставлени</w:t>
            </w:r>
            <w:r w:rsidR="003405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я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20557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 порядке, предусмотренном Общими условиями договора займа.</w:t>
            </w:r>
          </w:p>
          <w:p w14:paraId="6E86A2FA" w14:textId="40E1716C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Срок для подачи Заявления о предоставлении </w:t>
            </w:r>
            <w:r w:rsidR="003405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составляет </w:t>
            </w:r>
            <w:r w:rsidR="001D07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r w:rsidR="001D07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пять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</w:t>
            </w:r>
            <w:r w:rsidR="003405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календарных дней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с момента подписания Индивидуальных условий Договора займа.</w:t>
            </w:r>
          </w:p>
          <w:p w14:paraId="3E2738D2" w14:textId="23C922F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 течение одного рабочего дня с момента предоставления </w:t>
            </w:r>
            <w:r w:rsidR="003405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Займа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Заемщику Кредитор направляет Заемщику График платежей в порядке, предусмотренном Общими условиями договора займа.</w:t>
            </w:r>
          </w:p>
        </w:tc>
      </w:tr>
      <w:tr w:rsidR="000F191A" w14:paraId="09C26D14" w14:textId="77777777" w:rsidTr="00951070">
        <w:trPr>
          <w:trHeight w:val="380"/>
        </w:trPr>
        <w:tc>
          <w:tcPr>
            <w:tcW w:w="704" w:type="dxa"/>
          </w:tcPr>
          <w:p w14:paraId="1826FDE7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2AE74F3A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088" w:type="dxa"/>
          </w:tcPr>
          <w:p w14:paraId="06D7396B" w14:textId="5D820ADE" w:rsidR="000F191A" w:rsidRDefault="00340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405A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Кредитор предоставляет Заемщику в качестве потребительского займа денежные средства в размере, указанном в п.1 Индивидуальных условий настоящего договора, а Заемщик обязуется возвратить указанную сумму займа и уплатить Кредитору проценты за пользование заемными средствами на условиях настоящего договора.</w:t>
            </w:r>
          </w:p>
        </w:tc>
      </w:tr>
      <w:tr w:rsidR="000F191A" w14:paraId="41F79D91" w14:textId="77777777" w:rsidTr="00951070">
        <w:trPr>
          <w:trHeight w:val="380"/>
        </w:trPr>
        <w:tc>
          <w:tcPr>
            <w:tcW w:w="704" w:type="dxa"/>
          </w:tcPr>
          <w:p w14:paraId="02DF5C6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4DE7ACFC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Порядок изменения условий договора займа по заявлению Заемщика</w:t>
            </w:r>
          </w:p>
        </w:tc>
        <w:tc>
          <w:tcPr>
            <w:tcW w:w="7088" w:type="dxa"/>
          </w:tcPr>
          <w:p w14:paraId="4BE41EC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Кредитор вправе по заявлению Заемщика внести изменения в условия настоящего Договора займа. Заемщик вправе направить Кредитору заявление об изменении условий договора в письменной форме, а также в форме электронного документа, переданного одним из способов, указанных в п. 16 Индивидуальных условий Договора займа.</w:t>
            </w:r>
          </w:p>
          <w:p w14:paraId="097DCA55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 случае поступления заявления от Заемщика Кредитор вправе внести запрашиваемые в заявлении Заемщика изменения в Договор займа, после чего обязан направить измененную информацию (документы) Заемщику одним из способов, указанных в п. 16 Индивидуальных условий Договора займа.</w:t>
            </w:r>
          </w:p>
          <w:p w14:paraId="39C7D30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 случае несогласия Заемщика с новыми условиями по договору, Заемщик обязан в срок не позднее 3 (трех) рабочих дней с даты получения от Кредитора измененных условий договора уведомить Кредитора одним из способов, указанных в п. 16 Индивидуальных условий Договора займа, отказавшись от предложенных изменений. В случае непредставления Кредитору информации о несогласии Заемщика с новыми условиями договора в указанный выше срок новые условия договора будут считаться вступившими в силу с даты направления Кредитором уведомления Заемщику.</w:t>
            </w:r>
          </w:p>
        </w:tc>
      </w:tr>
      <w:tr w:rsidR="000F191A" w14:paraId="4C424499" w14:textId="77777777" w:rsidTr="00951070">
        <w:trPr>
          <w:trHeight w:val="380"/>
        </w:trPr>
        <w:tc>
          <w:tcPr>
            <w:tcW w:w="704" w:type="dxa"/>
          </w:tcPr>
          <w:p w14:paraId="53649E57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561B413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Использование аналога собственноручной подписи</w:t>
            </w:r>
          </w:p>
        </w:tc>
        <w:tc>
          <w:tcPr>
            <w:tcW w:w="7088" w:type="dxa"/>
          </w:tcPr>
          <w:p w14:paraId="6EA13A4F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Настоящим Заемщик и Кредитор пришли к соглашению о возможности применения Сторонами аналога собственноручной подписи (далее – АСП), в том числе простой электронной подписи.</w:t>
            </w:r>
          </w:p>
          <w:p w14:paraId="3A46E16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Стороны вправе использовать АСП при подписании Индивидуальных условий Договора займа, а также иных документов, связанных с заключением, изменением, прекращением Договора займа (включая все его неотъемлемые части). АСП Кредитора признается: графическое или электронное воспроизведение подписи Генерального директора Кредитора или иного уполномоченного представителя Кредитора с помощью средств механического или иного копирования и (или) оцифровки. Условия использования определяются в Лицензионном договоре и Соглашении об использовании аналога собственноручной подписи.</w:t>
            </w:r>
          </w:p>
        </w:tc>
      </w:tr>
      <w:tr w:rsidR="000F191A" w14:paraId="213B0ED8" w14:textId="77777777" w:rsidTr="00951070">
        <w:trPr>
          <w:trHeight w:val="380"/>
        </w:trPr>
        <w:tc>
          <w:tcPr>
            <w:tcW w:w="704" w:type="dxa"/>
          </w:tcPr>
          <w:p w14:paraId="254E780D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35" w:type="dxa"/>
          </w:tcPr>
          <w:p w14:paraId="4E6055BA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Подсудность</w:t>
            </w:r>
          </w:p>
        </w:tc>
        <w:tc>
          <w:tcPr>
            <w:tcW w:w="7088" w:type="dxa"/>
          </w:tcPr>
          <w:p w14:paraId="60C59397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При недостижении договоренности спорные вопросы, вытекающие из настоящего Договора займа, рассматриваются и разрешаются: </w:t>
            </w:r>
          </w:p>
          <w:p w14:paraId="16BBEB9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По требованиям Кредитора, рассматриваемым в порядке искового производства, в суде общей юрисдикции по месту нахождения Заемщика. </w:t>
            </w:r>
          </w:p>
          <w:p w14:paraId="4249AA4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• По требованиям Кредитора, рассматриваемым в порядке приказного производства, в судебном участке мирового судьи по месту нахождения Заемщика. </w:t>
            </w:r>
          </w:p>
          <w:p w14:paraId="1F15C53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Иные споры по настоящему Договору займа подлежат рассмотрению в судебном порядке, определяемом действующим законодательством Российской Федерации.</w:t>
            </w:r>
          </w:p>
        </w:tc>
      </w:tr>
      <w:tr w:rsidR="000F191A" w14:paraId="411A8899" w14:textId="77777777" w:rsidTr="00951070">
        <w:trPr>
          <w:trHeight w:val="380"/>
        </w:trPr>
        <w:tc>
          <w:tcPr>
            <w:tcW w:w="704" w:type="dxa"/>
          </w:tcPr>
          <w:p w14:paraId="71B53BB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5" w:type="dxa"/>
          </w:tcPr>
          <w:p w14:paraId="50C11E7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75"/>
              </w:tabs>
              <w:ind w:left="1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Термины, используемые в Индивидуальных условиях Договора займа</w:t>
            </w:r>
          </w:p>
        </w:tc>
        <w:tc>
          <w:tcPr>
            <w:tcW w:w="7088" w:type="dxa"/>
          </w:tcPr>
          <w:p w14:paraId="1BB9C72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944"/>
              </w:tabs>
              <w:ind w:left="142" w:right="138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 настоящих Индивидуальных условиях используются термины и понятия в том смысле, в котором они указываются в Правилах предоставления микрозаймов с лимитом кредитования, обеспеченных залогом транспортного средства, и Общих условиях договора займа.</w:t>
            </w:r>
          </w:p>
        </w:tc>
      </w:tr>
    </w:tbl>
    <w:p w14:paraId="31F73677" w14:textId="77777777" w:rsidR="000F191A" w:rsidRDefault="000F191A"/>
    <w:p w14:paraId="73F147BF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ind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8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45"/>
      </w:tblGrid>
      <w:tr w:rsidR="000F191A" w14:paraId="18244C3F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666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Кредитор:</w:t>
            </w:r>
          </w:p>
          <w:p w14:paraId="4916FBD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ПолеОрганизация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</w:p>
          <w:p w14:paraId="11C86E6E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ЮрАдрес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</w:p>
          <w:p w14:paraId="5141271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ИНН [ИНН] </w:t>
            </w:r>
          </w:p>
          <w:p w14:paraId="4B85488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КПП [КПП]</w:t>
            </w:r>
          </w:p>
          <w:p w14:paraId="533BBB6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ОГРН [ОГРН] </w:t>
            </w:r>
          </w:p>
          <w:p w14:paraId="35915B40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Р/С [РС] [Банк] </w:t>
            </w:r>
          </w:p>
          <w:p w14:paraId="2466714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К/С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КорРС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</w:p>
          <w:p w14:paraId="09139DA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БИК [БИК] </w:t>
            </w:r>
          </w:p>
          <w:p w14:paraId="50933395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Телефон: [Тел]</w:t>
            </w:r>
          </w:p>
          <w:p w14:paraId="3A2EABE7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Эл.почта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ЭлПочтаОрганизация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</w:p>
          <w:p w14:paraId="2B858F6A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Официальный сайт: www.mfovzaimno.ru 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AED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Заемщик:</w:t>
            </w:r>
          </w:p>
          <w:p w14:paraId="2FCE9BE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ФИО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ПолеФИО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</w:p>
          <w:p w14:paraId="24400985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Паспорт гражданина РФ серия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ПаспСерия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]№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ПаспНомер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 код подразделения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ПаспПодразделение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выдан[</w:t>
            </w:r>
            <w:proofErr w:type="spellStart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ПаспВыдан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], дата выдачи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ПаспДатаВыдачи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г. </w:t>
            </w:r>
          </w:p>
          <w:p w14:paraId="47B9FEE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Адрес регистрации: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МестоЖительстваПрописка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 Фактический адрес: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МестоЖительстваФакт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  <w:p w14:paraId="457561C6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Тел. по прописке: [Телефон] </w:t>
            </w:r>
          </w:p>
          <w:p w14:paraId="4334D20E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Тел. мобильный: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МобТелефон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] </w:t>
            </w:r>
          </w:p>
          <w:p w14:paraId="5C6B36D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эл.почта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ЭлПочта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</w:tc>
      </w:tr>
    </w:tbl>
    <w:p w14:paraId="438DDAD0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ind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41033CE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ind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CA0424C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ind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9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45"/>
      </w:tblGrid>
      <w:tr w:rsidR="000F191A" w14:paraId="321678F3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3CFE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__________________/______________/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BEF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__________________/______________/</w:t>
            </w:r>
          </w:p>
        </w:tc>
      </w:tr>
    </w:tbl>
    <w:p w14:paraId="232AC1BE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ind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A576A18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ind w:right="44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или</w:t>
      </w:r>
    </w:p>
    <w:p w14:paraId="468DECEA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ind w:right="441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Сведения о Кредиторе</w:t>
      </w:r>
    </w:p>
    <w:p w14:paraId="4DC6B0D0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ПолеОрганизация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] </w:t>
      </w:r>
    </w:p>
    <w:p w14:paraId="5A79F34D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ЮрАдрес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] </w:t>
      </w:r>
    </w:p>
    <w:p w14:paraId="1377C5B7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ИНН [ИНН] </w:t>
      </w:r>
    </w:p>
    <w:p w14:paraId="74E8B0CE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КПП [КПП]</w:t>
      </w:r>
    </w:p>
    <w:p w14:paraId="1DD3B8F0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ОГРН [ОГРН] </w:t>
      </w:r>
    </w:p>
    <w:p w14:paraId="5E6A8A74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Р/С [РС] [Банк] </w:t>
      </w:r>
    </w:p>
    <w:p w14:paraId="384E77FB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К/С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КорРС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] </w:t>
      </w:r>
    </w:p>
    <w:p w14:paraId="355DAAFB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БИК [БИК] </w:t>
      </w:r>
    </w:p>
    <w:p w14:paraId="65752E02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Телефон: [Тел]</w:t>
      </w:r>
    </w:p>
    <w:p w14:paraId="5B72DFDC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Эл.почта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: [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ЭлПочтаОрганизация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] </w:t>
      </w:r>
    </w:p>
    <w:p w14:paraId="6102F2A8" w14:textId="77777777" w:rsidR="000F191A" w:rsidRDefault="00BF14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Официальный сайт: www.mfovzaimno.ru </w:t>
      </w:r>
    </w:p>
    <w:p w14:paraId="4923FAE9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45D9B5C" w14:textId="77777777" w:rsidR="000F191A" w:rsidRDefault="00BF14CD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161DBC51" w14:textId="77777777" w:rsidR="000F191A" w:rsidRDefault="000F191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a"/>
        <w:tblW w:w="90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4155"/>
      </w:tblGrid>
      <w:tr w:rsidR="000F191A" w14:paraId="38266934" w14:textId="77777777">
        <w:tc>
          <w:tcPr>
            <w:tcW w:w="9060" w:type="dxa"/>
            <w:gridSpan w:val="2"/>
          </w:tcPr>
          <w:p w14:paraId="0DCE232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Подписание индивидуальных условий договора займа</w:t>
            </w:r>
          </w:p>
        </w:tc>
      </w:tr>
      <w:tr w:rsidR="000F191A" w14:paraId="2A74FB58" w14:textId="77777777">
        <w:trPr>
          <w:trHeight w:val="4000"/>
        </w:trPr>
        <w:tc>
          <w:tcPr>
            <w:tcW w:w="4905" w:type="dxa"/>
          </w:tcPr>
          <w:p w14:paraId="349EBCEB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Заемщик</w:t>
            </w:r>
          </w:p>
        </w:tc>
        <w:tc>
          <w:tcPr>
            <w:tcW w:w="4155" w:type="dxa"/>
          </w:tcPr>
          <w:p w14:paraId="48C252B8" w14:textId="77777777" w:rsidR="000F191A" w:rsidRDefault="00BF1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 Заемщика:</w:t>
            </w:r>
          </w:p>
          <w:p w14:paraId="61EC4465" w14:textId="77777777" w:rsidR="000F191A" w:rsidRDefault="00BF1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ФИО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ПолеФИО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  <w:p w14:paraId="4008B194" w14:textId="77777777" w:rsidR="000F191A" w:rsidRDefault="00BF1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Паспорт гражданина РФ серия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ПаспСерия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 №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ПаспНомер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  <w:p w14:paraId="28916145" w14:textId="77777777" w:rsidR="000F191A" w:rsidRDefault="00BF1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код подразделения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ПаспПодразделение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  <w:p w14:paraId="6C4D5A1F" w14:textId="77777777" w:rsidR="000F191A" w:rsidRDefault="00BF1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выдан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ПаспВыдан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],</w:t>
            </w:r>
          </w:p>
          <w:p w14:paraId="6E875118" w14:textId="77777777" w:rsidR="000F191A" w:rsidRDefault="00BF1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дата выдачи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ПаспДатаВыдачи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 г.</w:t>
            </w:r>
          </w:p>
          <w:p w14:paraId="583EED0B" w14:textId="77777777" w:rsidR="000F191A" w:rsidRDefault="00BF1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Адрес регистрации: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МестоЖительстваПрописка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  <w:p w14:paraId="0118AB6C" w14:textId="77777777" w:rsidR="000F191A" w:rsidRDefault="00BF1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Фактический адрес: [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МестоЖительстваФакт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0F191A" w14:paraId="6E310F07" w14:textId="77777777">
        <w:trPr>
          <w:trHeight w:val="440"/>
        </w:trPr>
        <w:tc>
          <w:tcPr>
            <w:tcW w:w="4905" w:type="dxa"/>
          </w:tcPr>
          <w:p w14:paraId="64DB1FC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Тип электронной подписи</w:t>
            </w:r>
          </w:p>
        </w:tc>
        <w:tc>
          <w:tcPr>
            <w:tcW w:w="4155" w:type="dxa"/>
          </w:tcPr>
          <w:p w14:paraId="455F2591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СМС</w:t>
            </w:r>
          </w:p>
        </w:tc>
      </w:tr>
      <w:tr w:rsidR="000F191A" w14:paraId="281C20E1" w14:textId="77777777">
        <w:tc>
          <w:tcPr>
            <w:tcW w:w="4905" w:type="dxa"/>
          </w:tcPr>
          <w:p w14:paraId="6B1A7A33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СМС-код</w:t>
            </w:r>
          </w:p>
        </w:tc>
        <w:tc>
          <w:tcPr>
            <w:tcW w:w="4155" w:type="dxa"/>
          </w:tcPr>
          <w:p w14:paraId="71CEDDB3" w14:textId="77777777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191A" w14:paraId="582AB737" w14:textId="77777777">
        <w:tc>
          <w:tcPr>
            <w:tcW w:w="4905" w:type="dxa"/>
          </w:tcPr>
          <w:p w14:paraId="5A260D29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Дата и время запроса СМС-кода</w:t>
            </w:r>
          </w:p>
        </w:tc>
        <w:tc>
          <w:tcPr>
            <w:tcW w:w="4155" w:type="dxa"/>
          </w:tcPr>
          <w:p w14:paraId="00D3CB4B" w14:textId="77777777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191A" w14:paraId="354D52DB" w14:textId="77777777">
        <w:tc>
          <w:tcPr>
            <w:tcW w:w="4905" w:type="dxa"/>
          </w:tcPr>
          <w:p w14:paraId="79C390F2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СМС-код отправлен на телефон</w:t>
            </w:r>
          </w:p>
        </w:tc>
        <w:tc>
          <w:tcPr>
            <w:tcW w:w="4155" w:type="dxa"/>
          </w:tcPr>
          <w:p w14:paraId="5E9C82A8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+</w:t>
            </w:r>
          </w:p>
        </w:tc>
      </w:tr>
      <w:tr w:rsidR="000F191A" w14:paraId="3EB5E8B2" w14:textId="77777777">
        <w:tc>
          <w:tcPr>
            <w:tcW w:w="4905" w:type="dxa"/>
          </w:tcPr>
          <w:p w14:paraId="72705DA5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Дата и время отправки СМС-кода</w:t>
            </w:r>
          </w:p>
        </w:tc>
        <w:tc>
          <w:tcPr>
            <w:tcW w:w="4155" w:type="dxa"/>
          </w:tcPr>
          <w:p w14:paraId="5BC564B9" w14:textId="77777777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191A" w14:paraId="73AF034B" w14:textId="77777777">
        <w:tc>
          <w:tcPr>
            <w:tcW w:w="4905" w:type="dxa"/>
          </w:tcPr>
          <w:p w14:paraId="63ACC62F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Текст СМС</w:t>
            </w:r>
          </w:p>
        </w:tc>
        <w:tc>
          <w:tcPr>
            <w:tcW w:w="4155" w:type="dxa"/>
          </w:tcPr>
          <w:p w14:paraId="763BEAE3" w14:textId="77777777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191A" w14:paraId="20E48F78" w14:textId="77777777">
        <w:tc>
          <w:tcPr>
            <w:tcW w:w="4905" w:type="dxa"/>
          </w:tcPr>
          <w:p w14:paraId="1C1E45C4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Статус получения СМС-сообщения</w:t>
            </w:r>
          </w:p>
        </w:tc>
        <w:tc>
          <w:tcPr>
            <w:tcW w:w="4155" w:type="dxa"/>
          </w:tcPr>
          <w:p w14:paraId="50672ADF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Доставлено</w:t>
            </w:r>
          </w:p>
        </w:tc>
      </w:tr>
      <w:tr w:rsidR="000F191A" w14:paraId="5CF4352D" w14:textId="77777777">
        <w:tc>
          <w:tcPr>
            <w:tcW w:w="4905" w:type="dxa"/>
          </w:tcPr>
          <w:p w14:paraId="7B60BBFE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Введенный СМС-код</w:t>
            </w:r>
          </w:p>
        </w:tc>
        <w:tc>
          <w:tcPr>
            <w:tcW w:w="4155" w:type="dxa"/>
          </w:tcPr>
          <w:p w14:paraId="4918F177" w14:textId="77777777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191A" w14:paraId="2149A54D" w14:textId="77777777">
        <w:tc>
          <w:tcPr>
            <w:tcW w:w="4905" w:type="dxa"/>
          </w:tcPr>
          <w:p w14:paraId="1FA8DC1C" w14:textId="77777777" w:rsidR="000F191A" w:rsidRDefault="00BF1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Дата и время ввода СМС-кода</w:t>
            </w:r>
          </w:p>
        </w:tc>
        <w:tc>
          <w:tcPr>
            <w:tcW w:w="4155" w:type="dxa"/>
          </w:tcPr>
          <w:p w14:paraId="2C10F311" w14:textId="77777777" w:rsidR="000F191A" w:rsidRDefault="000F1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1573173" w14:textId="77777777" w:rsidR="000F191A" w:rsidRDefault="000F191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0F191A">
      <w:footerReference w:type="default" r:id="rId19"/>
      <w:pgSz w:w="11910" w:h="16840"/>
      <w:pgMar w:top="709" w:right="577" w:bottom="1020" w:left="560" w:header="0" w:footer="8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141C8" w16cex:dateUtc="2021-08-13T16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BCA5" w14:textId="77777777" w:rsidR="00872BD1" w:rsidRDefault="00872BD1">
      <w:r>
        <w:separator/>
      </w:r>
    </w:p>
  </w:endnote>
  <w:endnote w:type="continuationSeparator" w:id="0">
    <w:p w14:paraId="71545830" w14:textId="77777777" w:rsidR="00872BD1" w:rsidRDefault="0087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1AD5" w14:textId="77777777" w:rsidR="00DB3BB1" w:rsidRDefault="00DB3BB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3760" w14:textId="77777777" w:rsidR="00872BD1" w:rsidRDefault="00872BD1">
      <w:r>
        <w:separator/>
      </w:r>
    </w:p>
  </w:footnote>
  <w:footnote w:type="continuationSeparator" w:id="0">
    <w:p w14:paraId="125D6BE8" w14:textId="77777777" w:rsidR="00872BD1" w:rsidRDefault="0087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045"/>
    <w:multiLevelType w:val="multilevel"/>
    <w:tmpl w:val="219007A8"/>
    <w:lvl w:ilvl="0">
      <w:start w:val="1"/>
      <w:numFmt w:val="bullet"/>
      <w:lvlText w:val="⎯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1F69C2"/>
    <w:multiLevelType w:val="multilevel"/>
    <w:tmpl w:val="312CAC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9816D6"/>
    <w:multiLevelType w:val="hybridMultilevel"/>
    <w:tmpl w:val="A964DA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B404BB"/>
    <w:multiLevelType w:val="hybridMultilevel"/>
    <w:tmpl w:val="47088D58"/>
    <w:lvl w:ilvl="0" w:tplc="5494443E">
      <w:start w:val="1"/>
      <w:numFmt w:val="bullet"/>
      <w:lvlText w:val="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0383"/>
    <w:multiLevelType w:val="multilevel"/>
    <w:tmpl w:val="E95C2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E91D25"/>
    <w:multiLevelType w:val="hybridMultilevel"/>
    <w:tmpl w:val="A442EC1A"/>
    <w:lvl w:ilvl="0" w:tplc="5494443E">
      <w:start w:val="1"/>
      <w:numFmt w:val="bullet"/>
      <w:lvlText w:val="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0B92DDD"/>
    <w:multiLevelType w:val="multilevel"/>
    <w:tmpl w:val="66F2B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1A"/>
    <w:rsid w:val="00036993"/>
    <w:rsid w:val="000416F9"/>
    <w:rsid w:val="000F191A"/>
    <w:rsid w:val="001331A3"/>
    <w:rsid w:val="001910DF"/>
    <w:rsid w:val="001C2915"/>
    <w:rsid w:val="001D0764"/>
    <w:rsid w:val="001F6C3F"/>
    <w:rsid w:val="00201677"/>
    <w:rsid w:val="0020557E"/>
    <w:rsid w:val="00254759"/>
    <w:rsid w:val="00266277"/>
    <w:rsid w:val="002C41A7"/>
    <w:rsid w:val="00310FDA"/>
    <w:rsid w:val="003405AF"/>
    <w:rsid w:val="00362275"/>
    <w:rsid w:val="003B3B6C"/>
    <w:rsid w:val="003C6A1B"/>
    <w:rsid w:val="003E7C90"/>
    <w:rsid w:val="004A7F98"/>
    <w:rsid w:val="004D5590"/>
    <w:rsid w:val="00517465"/>
    <w:rsid w:val="00552220"/>
    <w:rsid w:val="0058358A"/>
    <w:rsid w:val="005A4845"/>
    <w:rsid w:val="005D0B16"/>
    <w:rsid w:val="006C2E95"/>
    <w:rsid w:val="006D007B"/>
    <w:rsid w:val="007F16F3"/>
    <w:rsid w:val="00872BD1"/>
    <w:rsid w:val="008A041B"/>
    <w:rsid w:val="008B233A"/>
    <w:rsid w:val="008F5199"/>
    <w:rsid w:val="009064B6"/>
    <w:rsid w:val="00946BFE"/>
    <w:rsid w:val="00951070"/>
    <w:rsid w:val="00A56DB8"/>
    <w:rsid w:val="00A910F0"/>
    <w:rsid w:val="00AB528B"/>
    <w:rsid w:val="00AC41FE"/>
    <w:rsid w:val="00AD7E41"/>
    <w:rsid w:val="00AE70FE"/>
    <w:rsid w:val="00B020BF"/>
    <w:rsid w:val="00B401B4"/>
    <w:rsid w:val="00B548A8"/>
    <w:rsid w:val="00BF14CD"/>
    <w:rsid w:val="00BF27CA"/>
    <w:rsid w:val="00C26C1E"/>
    <w:rsid w:val="00CA77E5"/>
    <w:rsid w:val="00D22358"/>
    <w:rsid w:val="00DB3BB1"/>
    <w:rsid w:val="00E15BA0"/>
    <w:rsid w:val="00E42E45"/>
    <w:rsid w:val="00E96EB5"/>
    <w:rsid w:val="00EA3F03"/>
    <w:rsid w:val="00EC2D50"/>
    <w:rsid w:val="00EE7359"/>
    <w:rsid w:val="00F37701"/>
    <w:rsid w:val="00F65648"/>
    <w:rsid w:val="00F97DA0"/>
    <w:rsid w:val="00FC5739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8601"/>
  <w15:docId w15:val="{B79F2C24-2A67-564E-937C-D1A7BBB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table" w:styleId="af4">
    <w:name w:val="Table Grid"/>
    <w:basedOn w:val="a1"/>
    <w:uiPriority w:val="39"/>
    <w:rsid w:val="0076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761286"/>
    <w:rPr>
      <w:b/>
      <w:bCs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761286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DB53BE"/>
    <w:pPr>
      <w:ind w:left="720"/>
      <w:contextualSpacing/>
    </w:p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D5804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4D5804"/>
    <w:rPr>
      <w:rFonts w:ascii="Segoe UI" w:hAnsi="Segoe UI" w:cs="Segoe UI"/>
      <w:sz w:val="18"/>
      <w:szCs w:val="18"/>
    </w:r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mfovzaimno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fovzaimn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mfovzaimno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MhCV08I5Vsb5VwXOZiuS/Q+CQ==">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1E928-38D0-49FC-941B-D23DEB6D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Яцук</dc:creator>
  <cp:lastModifiedBy>Павлова Ксения Геннадьевна</cp:lastModifiedBy>
  <cp:revision>2</cp:revision>
  <dcterms:created xsi:type="dcterms:W3CDTF">2021-08-30T14:00:00Z</dcterms:created>
  <dcterms:modified xsi:type="dcterms:W3CDTF">2021-08-30T14:00:00Z</dcterms:modified>
</cp:coreProperties>
</file>